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napToGrid w:val="0"/>
        <w:spacing w:line="590" w:lineRule="exact"/>
        <w:jc w:val="left"/>
        <w:rPr>
          <w:rFonts w:hint="default" w:ascii="黑体" w:hAnsi="黑体" w:eastAsia="黑体" w:cs="黑体"/>
          <w:sz w:val="32"/>
          <w:szCs w:val="32"/>
          <w:highlight w:val="none"/>
          <w:lang w:val="en-US" w:eastAsia="zh-CN"/>
        </w:rPr>
      </w:pPr>
      <w:r>
        <w:rPr>
          <w:rFonts w:hint="eastAsia" w:ascii="黑体" w:hAnsi="黑体" w:eastAsia="黑体" w:cs="黑体"/>
          <w:sz w:val="32"/>
          <w:szCs w:val="32"/>
          <w:highlight w:val="none"/>
          <w:lang w:eastAsia="zh-CN"/>
        </w:rPr>
        <w:t>附件</w:t>
      </w:r>
      <w:r>
        <w:rPr>
          <w:rFonts w:hint="eastAsia" w:ascii="黑体" w:hAnsi="黑体" w:eastAsia="黑体" w:cs="黑体"/>
          <w:sz w:val="32"/>
          <w:szCs w:val="32"/>
          <w:highlight w:val="none"/>
          <w:lang w:val="en-US" w:eastAsia="zh-CN"/>
        </w:rPr>
        <w:t>4</w:t>
      </w:r>
    </w:p>
    <w:p>
      <w:pPr>
        <w:keepNext w:val="0"/>
        <w:keepLines w:val="0"/>
        <w:pageBreakBefore w:val="0"/>
        <w:widowControl/>
        <w:shd w:val="clear" w:color="auto" w:fill="FFFFFF"/>
        <w:kinsoku/>
        <w:wordWrap/>
        <w:overflowPunct/>
        <w:topLinePunct w:val="0"/>
        <w:autoSpaceDE/>
        <w:autoSpaceDN/>
        <w:bidi w:val="0"/>
        <w:adjustRightInd/>
        <w:snapToGrid w:val="0"/>
        <w:spacing w:line="660" w:lineRule="exact"/>
        <w:jc w:val="center"/>
        <w:textAlignment w:val="auto"/>
        <w:rPr>
          <w:rFonts w:hint="eastAsia" w:ascii="方正小标宋_GBK" w:hAnsi="方正小标宋_GBK" w:eastAsia="方正小标宋_GBK" w:cs="方正小标宋_GBK"/>
          <w:sz w:val="44"/>
          <w:szCs w:val="44"/>
          <w:highlight w:val="none"/>
        </w:rPr>
      </w:pPr>
      <w:r>
        <w:rPr>
          <w:rFonts w:hint="eastAsia" w:ascii="方正小标宋_GBK" w:hAnsi="方正小标宋_GBK" w:eastAsia="方正小标宋_GBK" w:cs="方正小标宋_GBK"/>
          <w:sz w:val="44"/>
          <w:szCs w:val="44"/>
          <w:highlight w:val="none"/>
        </w:rPr>
        <w:t>关于部分</w:t>
      </w:r>
      <w:r>
        <w:rPr>
          <w:rFonts w:hint="eastAsia" w:ascii="方正小标宋_GBK" w:hAnsi="方正小标宋_GBK" w:eastAsia="方正小标宋_GBK" w:cs="方正小标宋_GBK"/>
          <w:sz w:val="44"/>
          <w:szCs w:val="44"/>
          <w:highlight w:val="none"/>
          <w:lang w:eastAsia="zh-CN"/>
        </w:rPr>
        <w:t>抽检项目</w:t>
      </w:r>
      <w:r>
        <w:rPr>
          <w:rFonts w:hint="eastAsia" w:ascii="方正小标宋_GBK" w:hAnsi="方正小标宋_GBK" w:eastAsia="方正小标宋_GBK" w:cs="方正小标宋_GBK"/>
          <w:sz w:val="44"/>
          <w:szCs w:val="44"/>
          <w:highlight w:val="none"/>
        </w:rPr>
        <w:t>的说明</w:t>
      </w:r>
    </w:p>
    <w:p>
      <w:pPr>
        <w:widowControl/>
        <w:shd w:val="clear" w:color="auto" w:fill="FFFFFF"/>
        <w:snapToGrid w:val="0"/>
        <w:spacing w:line="590" w:lineRule="exact"/>
        <w:rPr>
          <w:rFonts w:hint="eastAsia" w:ascii="Times New Roman" w:hAnsi="Times New Roman" w:eastAsia="仿宋_GB2312"/>
          <w:highlight w:val="none"/>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一、菌落总数</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val="en-US" w:eastAsia="zh-CN"/>
        </w:rPr>
        <w:t>菌落总数（aerobic plate</w:t>
      </w:r>
      <w:bookmarkStart w:id="0" w:name="_GoBack"/>
      <w:bookmarkEnd w:id="0"/>
      <w:r>
        <w:rPr>
          <w:rFonts w:hint="default" w:ascii="Times New Roman" w:hAnsi="Times New Roman" w:eastAsia="仿宋_GB2312" w:cs="Times New Roman"/>
          <w:b w:val="0"/>
          <w:bCs w:val="0"/>
          <w:sz w:val="32"/>
          <w:szCs w:val="32"/>
          <w:lang w:val="en-US" w:eastAsia="zh-CN"/>
        </w:rPr>
        <w:t xml:space="preserve"> count, APC）是指在被检样品的单位质量（g）、容积（mL）或表面积（cm 2）内，所含能在严格规定的条件下（需氧情况培养基及其 pH、培养温度与时间、计数方法等）培养所生成的微生物菌落的数量，以菌落形成单位（CFU）表示。 </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val="en-US" w:eastAsia="zh-CN"/>
        </w:rPr>
        <w:t xml:space="preserve">菌落总数是指示性微生物指标，并非致病菌指标。其卫生学意义主要是：一是作为食品被微生物污染程度，即清洁状态的标志，反映食品在生产过程中的卫生状况；二是预测食品耐保藏性。一般来讲，食品中菌落总数数量越多，食品腐败变质的速度就越快。如果食品的菌落总数严重超标，将会破坏食品的营养成分，使食品失去食用价值；还会加速食品的腐败变质，可能危害人体健康。 </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val="en-US" w:eastAsia="zh-CN"/>
        </w:rPr>
        <w:t>菌落总数超标说明生产经营企业可能未按要求严格控制生产加工过程的卫生条件，或者包装容器清洗消毒不到位；还有可能与产品包装密封不严，储运条件控制不当等有关。</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w:t>
      </w:r>
      <w:r>
        <w:rPr>
          <w:rFonts w:hint="eastAsia" w:ascii="黑体" w:hAnsi="黑体" w:eastAsia="黑体" w:cs="黑体"/>
          <w:b w:val="0"/>
          <w:bCs w:val="0"/>
          <w:color w:val="000000"/>
          <w:kern w:val="0"/>
          <w:sz w:val="32"/>
          <w:szCs w:val="32"/>
          <w:lang w:val="en-US" w:eastAsia="zh-CN" w:bidi="ar"/>
        </w:rPr>
        <w:t>铜绿假单胞菌</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color w:val="000000"/>
          <w:kern w:val="0"/>
          <w:sz w:val="32"/>
          <w:szCs w:val="32"/>
          <w:lang w:val="en-US" w:eastAsia="zh-CN" w:bidi="ar"/>
        </w:rPr>
        <w:t>铜绿假单胞菌（</w:t>
      </w:r>
      <w:r>
        <w:rPr>
          <w:rFonts w:hint="default" w:ascii="Times New Roman" w:hAnsi="Times New Roman" w:eastAsia="仿宋_GB2312" w:cs="Times New Roman"/>
          <w:b w:val="0"/>
          <w:bCs w:val="0"/>
          <w:i/>
          <w:iCs/>
          <w:color w:val="000000"/>
          <w:kern w:val="0"/>
          <w:sz w:val="32"/>
          <w:szCs w:val="32"/>
          <w:lang w:val="en-US" w:eastAsia="zh-CN" w:bidi="ar"/>
        </w:rPr>
        <w:t>Pseudomonas aeruginosa</w:t>
      </w:r>
      <w:r>
        <w:rPr>
          <w:rFonts w:hint="default" w:ascii="Times New Roman" w:hAnsi="Times New Roman" w:eastAsia="仿宋_GB2312" w:cs="Times New Roman"/>
          <w:b w:val="0"/>
          <w:bCs w:val="0"/>
          <w:color w:val="000000"/>
          <w:kern w:val="0"/>
          <w:sz w:val="32"/>
          <w:szCs w:val="32"/>
          <w:lang w:val="en-US" w:eastAsia="zh-CN" w:bidi="ar"/>
        </w:rPr>
        <w:t xml:space="preserve">）是革兰氏阴性无芽孢杆菌，需氧，多具有分解蛋白质、碳水化合物和脂肪的能力，是重要的食品腐败性细菌。广泛分布于水、空气、正常人的皮肤、呼吸道和肠道等，易在潮湿的环境存活，对消毒剂、紫外线等具有较强的抵抗力。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color w:val="000000"/>
          <w:kern w:val="0"/>
          <w:sz w:val="32"/>
          <w:szCs w:val="32"/>
          <w:lang w:val="en-US" w:eastAsia="zh-CN" w:bidi="ar"/>
        </w:rPr>
        <w:t xml:space="preserve">铜绿假单胞菌是一种条件致病菌，对于免疫力较弱的人群健康风险较大。天然矿泉水中铜绿假单胞菌超标可能是源水防护不当，水体受到污染；生产过程中卫生控制不严格，如从业人员未经消毒的手直接与矿泉水或容器内壁接触；或者是包装材料清洗消毒有缺陷所致。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color w:val="000000"/>
          <w:kern w:val="0"/>
          <w:sz w:val="32"/>
          <w:szCs w:val="32"/>
          <w:lang w:val="en-US" w:eastAsia="zh-CN" w:bidi="ar"/>
        </w:rPr>
        <w:t>我国《食品安全国家标准 包装饮用水》（GB 19298-2014）和《食品安全国家标准 饮用天然矿泉水》（GB 8537-2018）对铜绿假单胞菌限量进行了规定。</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黑体" w:hAnsi="黑体" w:eastAsia="黑体" w:cs="黑体"/>
          <w:b w:val="0"/>
          <w:bCs w:val="0"/>
          <w:color w:val="191919"/>
          <w:sz w:val="32"/>
          <w:szCs w:val="32"/>
          <w:shd w:val="clear" w:color="auto" w:fill="FFFFFF"/>
          <w:lang w:val="en-US" w:eastAsia="zh-CN"/>
        </w:rPr>
      </w:pPr>
      <w:r>
        <w:rPr>
          <w:rFonts w:hint="eastAsia" w:ascii="黑体" w:hAnsi="黑体" w:eastAsia="黑体" w:cs="黑体"/>
          <w:b w:val="0"/>
          <w:bCs w:val="0"/>
          <w:color w:val="191919"/>
          <w:sz w:val="32"/>
          <w:szCs w:val="32"/>
          <w:shd w:val="clear" w:color="auto" w:fill="FFFFFF"/>
          <w:lang w:val="en-US" w:eastAsia="zh-CN"/>
        </w:rPr>
        <w:t>三、</w:t>
      </w:r>
      <w:r>
        <w:rPr>
          <w:rFonts w:hint="eastAsia" w:ascii="黑体" w:hAnsi="黑体" w:eastAsia="黑体" w:cs="黑体"/>
          <w:b w:val="0"/>
          <w:bCs w:val="0"/>
          <w:color w:val="000000"/>
          <w:kern w:val="0"/>
          <w:sz w:val="32"/>
          <w:szCs w:val="32"/>
          <w:lang w:val="en-US" w:eastAsia="zh-CN" w:bidi="ar"/>
        </w:rPr>
        <w:t>氯氟氰菊酯和高效氯氟氰菊酯</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color w:val="000000"/>
          <w:kern w:val="0"/>
          <w:sz w:val="32"/>
          <w:szCs w:val="32"/>
          <w:lang w:val="en-US" w:eastAsia="zh-CN" w:bidi="ar"/>
        </w:rPr>
        <w:t xml:space="preserve">氯氟氰菊酯和高效氯氟氰菊酯（cyhalothrin andlambda-cyhalothrin），是一种广谱、高效拟除虫菊酯类杀虫剂，以触杀和胃毒作用为主，无内吸作用，被广泛用于农林业和卫生害虫的防治。但由于其不易降解，对鱼类、蜜蜂、蚕和蚯蚓都有剧毒，对生态环境有一定影响。经口急性毒性试验表明大鼠经口 LD50 为144mg/kg，急性毒性分级为中等毒性，中毒表现有头痛、头昏、恶心、呕吐、抽搐，重者可出现血压急剧下降、出现昏迷或多器官衰竭。相关研究未见遗传毒性、生殖发育毒性、致畸性和致癌性。少量的农药残留不会引起人体急性中毒，但长期食用氯氟氰菊酯超标的食品，对人体健康有一定影响。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color w:val="000000"/>
          <w:kern w:val="0"/>
          <w:sz w:val="32"/>
          <w:szCs w:val="32"/>
          <w:lang w:val="en-US" w:eastAsia="zh-CN" w:bidi="ar"/>
        </w:rPr>
        <w:t>联合国粮农组织和世界卫生组织农药残留联席会议（JMPR）建议其日容许摄入量（ADI）为 0.02mg/kg bw（2007）；急性参考剂量（ARfD）为 0.02mg/kg bw（2007）。</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四、噻虫嗪</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 xml:space="preserve">噻虫嗪（thiamethoxam），具有触杀、胃毒和内吸作用的杀虫剂。能被迅速吸收到植物体内，并在木质部向顶传导。防治蚜虫、粉虱、蓟马、稻飞虱、稻褐蝽、粉蚧、蛴螬、科罗拉多马铃薯甲虫、跳甲、金针虫、步行虫、潜叶虫和一些鳞翅目害虫。可用于茎叶和土壤处理的主要农作物有芸薹属作物、叶菜类和果菜类、马铃薯、水稻、棉花、落叶果树、咖啡、柑橘、烟草和大豆；种子处理主要用于玉米、高粱、谷物、甜菜、油料油菜、棉花、豌豆、蚕豆、向日葵、水稻和马铃薯。也可用于动物和公共卫生，防治蝇类（如家蝇、厕蝇和果蝇）。大鼠急性经口 LD50 为 1563mg/kg，急性毒性分级为低毒级。烟碱类杀虫剂。中毒可出现恶心、呕吐、头痛、乏力、心跳过速等。食用食品一般不会导致噻虫嗪的急性中毒，但长期食用噻虫嗪超标的食品，对人体健康也有一定影响。 </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联合国粮农组织和世界卫生组织农药残留联席会议（JMPR）2010 年制定了其日容许摄入量（ADI）为 0.08mg/kg bw，我国《食品安全国家标准 食品中农药最大残留限量》（GB2763-2021）中 ADI 值亦为 0.08mg/kg bw。</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黑体" w:hAnsi="黑体" w:eastAsia="黑体" w:cs="黑体"/>
          <w:b w:val="0"/>
          <w:bCs w:val="0"/>
          <w:color w:val="000000"/>
          <w:kern w:val="0"/>
          <w:sz w:val="32"/>
          <w:szCs w:val="32"/>
          <w:lang w:val="en-US" w:eastAsia="zh-CN" w:bidi="ar"/>
        </w:rPr>
      </w:pPr>
      <w:r>
        <w:rPr>
          <w:rFonts w:hint="eastAsia" w:ascii="黑体" w:hAnsi="黑体" w:eastAsia="黑体" w:cs="黑体"/>
          <w:b w:val="0"/>
          <w:bCs w:val="0"/>
          <w:color w:val="000000"/>
          <w:kern w:val="0"/>
          <w:sz w:val="32"/>
          <w:szCs w:val="32"/>
          <w:lang w:val="en-US" w:eastAsia="zh-CN" w:bidi="ar"/>
        </w:rPr>
        <w:t>五、</w:t>
      </w:r>
      <w:r>
        <w:rPr>
          <w:rFonts w:hint="eastAsia" w:ascii="黑体" w:hAnsi="黑体" w:eastAsia="黑体" w:cs="黑体"/>
          <w:b w:val="0"/>
          <w:bCs w:val="0"/>
          <w:sz w:val="32"/>
          <w:szCs w:val="32"/>
          <w:highlight w:val="none"/>
          <w:lang w:val="en-US" w:eastAsia="zh-CN"/>
        </w:rPr>
        <w:t>吡唑醚菌酯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 xml:space="preserve">吡唑醚菌酯（pyraclostrobin），是具有保护、治疗和传导作用的杀菌剂。会引起像推迟衰老、叶片变绿、对生物和非生物胁迫耐受性更好等生理效应，能更有效地利用水和氮。 </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 xml:space="preserve">用于防治主要的植物病害，如谷物的小麦壳针孢、柄锈菌、小麦德斯霉菌、肝圆核腔菌、黑麦喙孢菌和麦颖枯病，花生的球腔菌，大豆的线虫病、思茅松毛虫病和大豆锈菌，葡萄的霜霉病和白粉菌，马铃薯和番茄的疫霉病和早疫病，黄瓜的霜霉病和白粉病，香蕉的黑条叶斑病菌，柑橘的痂囊腔菌和球座菌，草坪的纹枯病和腐霉菌。大鼠急性经口 LD50＞5000mg/kg，急性毒性分级为微毒级。对皮肤、眼睛和呼吸道等有刺激作用，无人体全身性中毒报道。食用食品一般不会导致吡唑醚菌酯的急性中毒，但长期食用吡唑醚菌酯超标的食品，对人体健康也有一定影响。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 xml:space="preserve">联合国粮农组织和世界卫生组织农药残留联席会议（JMPR）于 2003 年制定了其日容许摄入量（ADI）为 0.03mg/kg bw，我国《食品安全国家标准 食品中农药最大残留限量》（GB 2763-2021）中 ADI 值亦为 0.03mg/kg bw。 </w:t>
      </w:r>
    </w:p>
    <w:p>
      <w:pPr>
        <w:pStyle w:val="2"/>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color w:val="000000"/>
          <w:kern w:val="0"/>
          <w:sz w:val="32"/>
          <w:szCs w:val="32"/>
          <w:lang w:val="en-US" w:eastAsia="zh-CN" w:bidi="ar"/>
        </w:rPr>
        <w:t>六、</w:t>
      </w:r>
      <w:r>
        <w:rPr>
          <w:rFonts w:hint="eastAsia" w:ascii="黑体" w:hAnsi="黑体" w:eastAsia="黑体" w:cs="黑体"/>
          <w:b w:val="0"/>
          <w:bCs w:val="0"/>
          <w:color w:val="191919"/>
          <w:sz w:val="32"/>
          <w:szCs w:val="32"/>
          <w:shd w:val="clear" w:color="auto" w:fill="FFFFFF"/>
          <w:lang w:val="en-US" w:eastAsia="zh-CN"/>
        </w:rPr>
        <w:t>噻虫胺</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191919"/>
          <w:sz w:val="32"/>
          <w:szCs w:val="32"/>
          <w:shd w:val="clear" w:color="auto" w:fill="FFFFFF"/>
          <w:lang w:val="en-US" w:eastAsia="zh-CN"/>
        </w:rPr>
      </w:pPr>
      <w:r>
        <w:rPr>
          <w:rFonts w:hint="default" w:ascii="Times New Roman" w:hAnsi="Times New Roman" w:eastAsia="仿宋_GB2312" w:cs="Times New Roman"/>
          <w:b w:val="0"/>
          <w:bCs w:val="0"/>
          <w:color w:val="191919"/>
          <w:sz w:val="32"/>
          <w:szCs w:val="32"/>
          <w:shd w:val="clear" w:color="auto" w:fill="FFFFFF"/>
          <w:lang w:val="en-US" w:eastAsia="zh-CN"/>
        </w:rPr>
        <w:t xml:space="preserve">噻虫胺（clothianidin），烟碱类杀虫剂，具有触杀、胃毒作用，具有根内吸活性和层间传导性。土壤处理、叶面喷施和种子处理，防治水稻、玉米、油菜、果树和蔬菜、柑橘的刺吸式和咀嚼式害虫，如飞虱、椿象、蚜虫和烟粉虱。雌雄大鼠急性经口 LD50&gt; 5000mg/kg，急性毒性分级为微毒。急性中毒可出现恶心、呕吐、头痛、乏力、躁动、抽搐等。食用食品一般不会导致噻虫胺的急性中毒，但长期食用噻虫胺超标的食品，对人体健康也有一定影响。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191919"/>
          <w:sz w:val="32"/>
          <w:szCs w:val="32"/>
          <w:shd w:val="clear" w:color="auto" w:fill="FFFFFF"/>
          <w:lang w:val="en-US" w:eastAsia="zh-CN"/>
        </w:rPr>
      </w:pPr>
      <w:r>
        <w:rPr>
          <w:rFonts w:hint="default" w:ascii="Times New Roman" w:hAnsi="Times New Roman" w:eastAsia="仿宋_GB2312" w:cs="Times New Roman"/>
          <w:b w:val="0"/>
          <w:bCs w:val="0"/>
          <w:color w:val="191919"/>
          <w:sz w:val="32"/>
          <w:szCs w:val="32"/>
          <w:shd w:val="clear" w:color="auto" w:fill="FFFFFF"/>
          <w:lang w:val="en-US" w:eastAsia="zh-CN"/>
        </w:rPr>
        <w:t>联合国粮农组织和世界卫生组织农药残留联席会议（JMPR）2010 年制定了其日容许摄入量（ADI）为 0.1mg/kg bw，我国《食品安全国家标准 食品中农药最大残留限量》GB2763-2021中 ADI 值亦为 0.1mg/kg bw。</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b w:val="0"/>
          <w:bCs w:val="0"/>
          <w:color w:val="000000"/>
          <w:kern w:val="0"/>
          <w:sz w:val="32"/>
          <w:szCs w:val="32"/>
          <w:lang w:val="en-US" w:eastAsia="zh-CN" w:bidi="ar"/>
        </w:rPr>
      </w:pPr>
      <w:r>
        <w:rPr>
          <w:rFonts w:hint="eastAsia" w:ascii="黑体" w:hAnsi="黑体" w:eastAsia="黑体" w:cs="黑体"/>
          <w:b w:val="0"/>
          <w:bCs w:val="0"/>
          <w:color w:val="000000"/>
          <w:kern w:val="0"/>
          <w:sz w:val="32"/>
          <w:szCs w:val="32"/>
          <w:lang w:val="en-US" w:eastAsia="zh-CN" w:bidi="ar"/>
        </w:rPr>
        <w:t>七、</w:t>
      </w:r>
      <w:r>
        <w:rPr>
          <w:rFonts w:hint="eastAsia" w:ascii="黑体" w:hAnsi="黑体" w:eastAsia="黑体" w:cs="黑体"/>
          <w:b w:val="0"/>
          <w:bCs w:val="0"/>
          <w:sz w:val="32"/>
          <w:szCs w:val="32"/>
          <w:lang w:val="en-US" w:eastAsia="zh-CN"/>
        </w:rPr>
        <w:t>甜蜜素</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 xml:space="preserve">甜蜜素（sodium cyclamate），化学名称为环己基氨基磺酸钠，是一种常用甜味剂，其甜度是蔗糖的 30~80 倍，可用于饮料、果汁、冰激凌、糕点、蜜饯等食品。人体不吸收甜蜜素，几乎全部原样从粪便排出。联合国粮农组织（FAO）和世界卫生组织食品添加剂联合专家委员会（JECFA）建议其日容许摄入量（ADI）为 0~11mg/kg bw。 </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 xml:space="preserve">甜蜜素在蜜饯凉果中的使用易超标，其主要原因为在蜜饯凉果中除了作为甜味剂使用外，更重要的功能是增加风味。除了蜜饯凉果外，在腌渍的蔬菜中，也发现许多边远县镇农贸市场自产自销的散装酱菜中超标率较高。 </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使用应遵循《食品安全国家标准 食品添加剂使用标准》（GB 2760-2014）及《关于爱德万甜等 6 种食品添加剂新品种、食品添加剂环己基氨基磺酸钠 （又名甜蜜素）等 6 种食品添加剂扩大用量和使用范围的公告 2017 年第 8 号》、《国家卫生健康委员会关于（±）-1-环己基乙醇等食品添加剂新品种的公告 2018 年 第 8 号》的规定。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八、</w:t>
      </w:r>
      <w:r>
        <w:rPr>
          <w:rFonts w:hint="eastAsia" w:ascii="黑体" w:hAnsi="黑体" w:eastAsia="黑体" w:cs="黑体"/>
          <w:b w:val="0"/>
          <w:bCs w:val="0"/>
          <w:color w:val="000000"/>
          <w:kern w:val="0"/>
          <w:sz w:val="32"/>
          <w:szCs w:val="32"/>
          <w:lang w:val="en-US" w:eastAsia="zh-CN" w:bidi="ar"/>
        </w:rPr>
        <w:t>脱氢乙酸及其钠盐</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color w:val="000000"/>
          <w:kern w:val="0"/>
          <w:sz w:val="32"/>
          <w:szCs w:val="32"/>
          <w:lang w:val="en-US" w:eastAsia="zh-CN" w:bidi="ar"/>
        </w:rPr>
        <w:t xml:space="preserve">脱氢乙酸（dehydroacetic acid）及其钠盐作为一种广谱食品防腐剂，对霉菌和酵母菌的抑制能力强，为苯甲酸钠的 2~10 倍，在高剂量使用时能抑制细菌。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color w:val="000000"/>
          <w:kern w:val="0"/>
          <w:sz w:val="32"/>
          <w:szCs w:val="32"/>
          <w:lang w:val="en-US" w:eastAsia="zh-CN" w:bidi="ar"/>
        </w:rPr>
        <w:t xml:space="preserve">脱氢乙酸毒性较低，按标准规定的范围和使用量使用是安全的。脱氢乙酸及其钠盐能被人体完全吸收，并能抑制人体内多种氧化酶，长期过量摄入脱氢乙酸及其钠盐会危害人体健康。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color w:val="000000"/>
          <w:kern w:val="0"/>
          <w:sz w:val="32"/>
          <w:szCs w:val="32"/>
          <w:lang w:val="en-US" w:eastAsia="zh-CN" w:bidi="ar"/>
        </w:rPr>
        <w:t>脱氢乙酸超标的原因可能是个别生产经营企业为防止食品腐败变质，超量使用了该添加剂，或者其使用的复配添加剂中该添加剂含量较高；也可能是在添加过程中未计量或计量不准。使用应遵循《食品安全国家标准 食品添加剂使用标准》（GB 2760-2014）的规定。</w:t>
      </w:r>
    </w:p>
    <w:p>
      <w:pPr>
        <w:pStyle w:val="2"/>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粗黑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5MDJhNTYzM2RhMDNiY2FmOGRjNGM1NjczMTY3MDgifQ=="/>
  </w:docVars>
  <w:rsids>
    <w:rsidRoot w:val="646E6F0B"/>
    <w:rsid w:val="02476023"/>
    <w:rsid w:val="04EF50AA"/>
    <w:rsid w:val="15AC739D"/>
    <w:rsid w:val="247442FA"/>
    <w:rsid w:val="4921579A"/>
    <w:rsid w:val="4C0360C1"/>
    <w:rsid w:val="60CA1D20"/>
    <w:rsid w:val="646E6F0B"/>
    <w:rsid w:val="6F77059D"/>
    <w:rsid w:val="74F3240C"/>
    <w:rsid w:val="7A3565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 w:asciiTheme="minorHAnsi" w:hAnsiTheme="minorHAnsi" w:cstheme="minorBidi"/>
      <w:kern w:val="2"/>
      <w:sz w:val="32"/>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宋体"/>
      <w:sz w:val="21"/>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4013</Words>
  <Characters>4462</Characters>
  <Lines>0</Lines>
  <Paragraphs>0</Paragraphs>
  <TotalTime>3</TotalTime>
  <ScaleCrop>false</ScaleCrop>
  <LinksUpToDate>false</LinksUpToDate>
  <CharactersWithSpaces>4586</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2023-01-13T02:08:00Z</dcterms:created>
  <dc:creator>LEO1407491859</dc:creator>
  <cp:lastModifiedBy>苏童</cp:lastModifiedBy>
  <dcterms:modified xsi:type="dcterms:W3CDTF">2023-08-22T08:19:57Z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9600118E13814299B0299FCDDE0BDA2E</vt:lpwstr>
  </property>
</Properties>
</file>